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712588">
      <w:pPr>
        <w:pStyle w:val="2"/>
        <w:numPr>
          <w:ilvl w:val="0"/>
          <w:numId w:val="0"/>
        </w:numPr>
        <w:spacing w:line="300" w:lineRule="exact"/>
        <w:rPr>
          <w:rFonts w:hint="eastAsia"/>
        </w:rPr>
      </w:pPr>
      <w:r>
        <w:rPr>
          <w:rFonts w:hint="eastAsia"/>
        </w:rPr>
        <w:t>北京市园林学校</w:t>
      </w:r>
    </w:p>
    <w:p w14:paraId="285742B3">
      <w:pPr>
        <w:snapToGrid w:val="0"/>
        <w:spacing w:line="288" w:lineRule="auto"/>
        <w:rPr>
          <w:rFonts w:hint="eastAsia" w:ascii="宋体" w:hAnsi="宋体" w:eastAsia="宋体" w:cstheme="majorBidi"/>
          <w:b/>
          <w:bCs/>
          <w:kern w:val="2"/>
          <w:sz w:val="36"/>
          <w:szCs w:val="36"/>
          <w:lang w:val="zh-CN" w:eastAsia="zh-CN" w:bidi="ar-SA"/>
        </w:rPr>
      </w:pPr>
      <w:bookmarkStart w:id="0" w:name="_GoBack"/>
      <w:bookmarkEnd w:id="0"/>
      <w:r>
        <w:rPr>
          <w:rFonts w:hint="eastAsia" w:ascii="宋体" w:hAnsi="宋体" w:eastAsia="宋体" w:cstheme="majorBidi"/>
          <w:b/>
          <w:bCs/>
          <w:kern w:val="2"/>
          <w:sz w:val="36"/>
          <w:szCs w:val="36"/>
          <w:lang w:val="zh-CN" w:eastAsia="zh-CN" w:bidi="ar-SA"/>
        </w:rPr>
        <w:t>“</w:t>
      </w:r>
      <w:r>
        <w:rPr>
          <w:rFonts w:hint="eastAsia" w:ascii="宋体" w:hAnsi="宋体" w:eastAsia="宋体" w:cstheme="majorBidi"/>
          <w:b/>
          <w:bCs/>
          <w:kern w:val="2"/>
          <w:sz w:val="36"/>
          <w:szCs w:val="36"/>
          <w:lang w:val="en-US" w:eastAsia="zh-CN" w:bidi="ar-SA"/>
        </w:rPr>
        <w:t>专业教学资源建设</w:t>
      </w:r>
      <w:r>
        <w:rPr>
          <w:rFonts w:hint="eastAsia" w:ascii="宋体" w:hAnsi="宋体" w:eastAsia="宋体" w:cstheme="majorBidi"/>
          <w:b/>
          <w:bCs/>
          <w:kern w:val="2"/>
          <w:sz w:val="36"/>
          <w:szCs w:val="36"/>
          <w:lang w:val="zh-CN" w:eastAsia="zh-CN" w:bidi="ar-SA"/>
        </w:rPr>
        <w:t>”—宠物古建园艺专业教学资源</w:t>
      </w:r>
    </w:p>
    <w:p w14:paraId="797801C0">
      <w:pPr>
        <w:numPr>
          <w:ilvl w:val="0"/>
          <w:numId w:val="0"/>
        </w:numPr>
        <w:snapToGrid w:val="0"/>
        <w:spacing w:line="288" w:lineRule="auto"/>
        <w:jc w:val="center"/>
        <w:rPr>
          <w:rFonts w:hint="eastAsia" w:ascii="宋体" w:hAnsi="宋体" w:eastAsia="宋体" w:cstheme="majorBidi"/>
          <w:b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="宋体" w:hAnsi="宋体" w:eastAsia="宋体" w:cstheme="majorBidi"/>
          <w:b/>
          <w:bCs/>
          <w:kern w:val="2"/>
          <w:sz w:val="36"/>
          <w:szCs w:val="36"/>
          <w:lang w:val="en-US" w:eastAsia="zh-CN" w:bidi="ar-SA"/>
        </w:rPr>
        <w:t>比选评分表及说明</w:t>
      </w:r>
    </w:p>
    <w:tbl>
      <w:tblPr>
        <w:tblStyle w:val="4"/>
        <w:tblW w:w="5241" w:type="pct"/>
        <w:tblInd w:w="-3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5"/>
        <w:gridCol w:w="1024"/>
        <w:gridCol w:w="6176"/>
        <w:gridCol w:w="718"/>
      </w:tblGrid>
      <w:tr w14:paraId="2068B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vAlign w:val="center"/>
          </w:tcPr>
          <w:p w14:paraId="4DE197FA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b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3"/>
                <w:sz w:val="22"/>
                <w:szCs w:val="24"/>
              </w:rPr>
              <w:t>评分</w:t>
            </w:r>
          </w:p>
          <w:p w14:paraId="62903E2A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3"/>
                <w:sz w:val="22"/>
                <w:szCs w:val="24"/>
              </w:rPr>
              <w:t>内容</w:t>
            </w:r>
          </w:p>
        </w:tc>
        <w:tc>
          <w:tcPr>
            <w:tcW w:w="573" w:type="pct"/>
            <w:vAlign w:val="center"/>
          </w:tcPr>
          <w:p w14:paraId="52ADC41F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b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3"/>
                <w:sz w:val="22"/>
                <w:szCs w:val="24"/>
              </w:rPr>
              <w:t>细目</w:t>
            </w:r>
          </w:p>
        </w:tc>
        <w:tc>
          <w:tcPr>
            <w:tcW w:w="3457" w:type="pct"/>
            <w:vAlign w:val="center"/>
          </w:tcPr>
          <w:p w14:paraId="6F49C48E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b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3"/>
                <w:sz w:val="22"/>
                <w:szCs w:val="24"/>
              </w:rPr>
              <w:t>评分标准</w:t>
            </w:r>
          </w:p>
        </w:tc>
        <w:tc>
          <w:tcPr>
            <w:tcW w:w="402" w:type="pct"/>
            <w:vAlign w:val="center"/>
          </w:tcPr>
          <w:p w14:paraId="7C067FFB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b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3"/>
                <w:sz w:val="22"/>
                <w:szCs w:val="24"/>
              </w:rPr>
              <w:t>分值</w:t>
            </w:r>
          </w:p>
        </w:tc>
      </w:tr>
      <w:tr w14:paraId="3E596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vAlign w:val="center"/>
          </w:tcPr>
          <w:p w14:paraId="6D6FEA4C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价格</w:t>
            </w:r>
          </w:p>
          <w:p w14:paraId="797C4BA9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b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（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10</w:t>
            </w: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分）</w:t>
            </w:r>
          </w:p>
        </w:tc>
        <w:tc>
          <w:tcPr>
            <w:tcW w:w="573" w:type="pct"/>
            <w:vAlign w:val="center"/>
          </w:tcPr>
          <w:p w14:paraId="306F7B85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报价</w:t>
            </w:r>
          </w:p>
          <w:p w14:paraId="3FE27129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价格</w:t>
            </w:r>
          </w:p>
          <w:p w14:paraId="6D1C158C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b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（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0分）</w:t>
            </w:r>
          </w:p>
        </w:tc>
        <w:tc>
          <w:tcPr>
            <w:tcW w:w="3457" w:type="pct"/>
            <w:vAlign w:val="center"/>
          </w:tcPr>
          <w:p w14:paraId="69738C06">
            <w:pPr>
              <w:suppressAutoHyphens/>
              <w:autoSpaceDN w:val="0"/>
              <w:spacing w:line="276" w:lineRule="auto"/>
              <w:jc w:val="left"/>
              <w:rPr>
                <w:rFonts w:ascii="宋体" w:hAnsi="宋体" w:eastAsia="宋体" w:cs="宋体"/>
                <w:kern w:val="3"/>
                <w:sz w:val="22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</w:rPr>
              <w:t>综合评分法中的价格分统一采用低价优先法计算，即满足招标文件要求且投标价格最低的投标报价为评标基准价，其价格分为满分</w:t>
            </w:r>
            <w:r>
              <w:rPr>
                <w:rFonts w:ascii="宋体" w:hAnsi="宋体" w:eastAsia="宋体" w:cs="宋体"/>
                <w:kern w:val="3"/>
                <w:sz w:val="22"/>
              </w:rPr>
              <w:t>1</w:t>
            </w:r>
            <w:r>
              <w:rPr>
                <w:rFonts w:hint="eastAsia" w:ascii="宋体" w:hAnsi="宋体" w:eastAsia="宋体" w:cs="宋体"/>
                <w:kern w:val="3"/>
                <w:sz w:val="22"/>
              </w:rPr>
              <w:t>0分。其他投标人的价格分统一按照下列公式计算：</w:t>
            </w:r>
          </w:p>
          <w:p w14:paraId="10CFBF3D">
            <w:pPr>
              <w:suppressAutoHyphens/>
              <w:autoSpaceDN w:val="0"/>
              <w:spacing w:line="276" w:lineRule="auto"/>
              <w:jc w:val="left"/>
              <w:rPr>
                <w:rFonts w:ascii="宋体" w:hAnsi="宋体" w:eastAsia="宋体" w:cs="宋体"/>
                <w:kern w:val="3"/>
                <w:sz w:val="22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</w:rPr>
              <w:t>投标报价得分=(评标基准价／投标报价)×</w:t>
            </w:r>
            <w:r>
              <w:rPr>
                <w:rFonts w:ascii="宋体" w:hAnsi="宋体" w:eastAsia="宋体" w:cs="宋体"/>
                <w:kern w:val="3"/>
                <w:sz w:val="22"/>
              </w:rPr>
              <w:t>1</w:t>
            </w:r>
            <w:r>
              <w:rPr>
                <w:rFonts w:hint="eastAsia" w:ascii="宋体" w:hAnsi="宋体" w:eastAsia="宋体" w:cs="宋体"/>
                <w:kern w:val="3"/>
                <w:sz w:val="22"/>
              </w:rPr>
              <w:t>0</w:t>
            </w:r>
          </w:p>
          <w:p w14:paraId="0CE840B5">
            <w:pPr>
              <w:suppressAutoHyphens/>
              <w:autoSpaceDN w:val="0"/>
              <w:spacing w:line="276" w:lineRule="auto"/>
              <w:jc w:val="left"/>
              <w:rPr>
                <w:rFonts w:ascii="宋体" w:hAnsi="宋体" w:eastAsia="宋体" w:cs="宋体"/>
                <w:b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</w:rPr>
              <w:t>报价得分保留小数点后两位。</w:t>
            </w:r>
          </w:p>
        </w:tc>
        <w:tc>
          <w:tcPr>
            <w:tcW w:w="402" w:type="pct"/>
            <w:vAlign w:val="center"/>
          </w:tcPr>
          <w:p w14:paraId="45072669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-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10</w:t>
            </w:r>
          </w:p>
        </w:tc>
      </w:tr>
      <w:tr w14:paraId="3CA88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vMerge w:val="restart"/>
            <w:vAlign w:val="center"/>
          </w:tcPr>
          <w:p w14:paraId="08041936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商务</w:t>
            </w:r>
          </w:p>
          <w:p w14:paraId="2047E7AA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（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10</w:t>
            </w: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分）</w:t>
            </w:r>
          </w:p>
        </w:tc>
        <w:tc>
          <w:tcPr>
            <w:tcW w:w="573" w:type="pct"/>
            <w:vAlign w:val="center"/>
          </w:tcPr>
          <w:p w14:paraId="018F1D55">
            <w:pPr>
              <w:spacing w:line="276" w:lineRule="auto"/>
              <w:jc w:val="center"/>
              <w:rPr>
                <w:rFonts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企业</w:t>
            </w:r>
          </w:p>
          <w:p w14:paraId="6A64FEAC">
            <w:pPr>
              <w:spacing w:line="276" w:lineRule="auto"/>
              <w:jc w:val="center"/>
              <w:rPr>
                <w:rFonts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实力</w:t>
            </w:r>
          </w:p>
          <w:p w14:paraId="3F8B008D">
            <w:pPr>
              <w:spacing w:line="276" w:lineRule="auto"/>
              <w:jc w:val="center"/>
              <w:rPr>
                <w:rFonts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（</w:t>
            </w:r>
            <w:r>
              <w:rPr>
                <w:rFonts w:ascii="宋体" w:hAnsi="宋体" w:eastAsia="宋体" w:cs="宋体"/>
                <w:sz w:val="22"/>
                <w:szCs w:val="24"/>
              </w:rPr>
              <w:t>4</w:t>
            </w:r>
            <w:r>
              <w:rPr>
                <w:rFonts w:hint="eastAsia" w:ascii="宋体" w:hAnsi="宋体" w:eastAsia="宋体" w:cs="宋体"/>
                <w:sz w:val="22"/>
                <w:szCs w:val="24"/>
              </w:rPr>
              <w:t>分）</w:t>
            </w:r>
          </w:p>
        </w:tc>
        <w:tc>
          <w:tcPr>
            <w:tcW w:w="3457" w:type="pct"/>
            <w:vAlign w:val="center"/>
          </w:tcPr>
          <w:p w14:paraId="52A0EE06">
            <w:pPr>
              <w:tabs>
                <w:tab w:val="left" w:pos="166"/>
              </w:tabs>
              <w:suppressAutoHyphens/>
              <w:autoSpaceDN w:val="0"/>
              <w:spacing w:line="276" w:lineRule="auto"/>
              <w:jc w:val="left"/>
              <w:rPr>
                <w:rFonts w:ascii="宋体" w:hAnsi="宋体" w:eastAsia="宋体" w:cs="Times New Roman"/>
                <w:kern w:val="3"/>
                <w:sz w:val="22"/>
              </w:rPr>
            </w:pPr>
            <w:r>
              <w:rPr>
                <w:rFonts w:hint="eastAsia" w:ascii="宋体" w:hAnsi="宋体" w:eastAsia="宋体" w:cs="Times New Roman"/>
                <w:kern w:val="3"/>
                <w:sz w:val="22"/>
              </w:rPr>
              <w:t>为配合课程后续合规推广应用，投标人具备广播电视节目制作经营许可证的（提供有效证明文件并加盖公章），得</w:t>
            </w:r>
            <w:r>
              <w:rPr>
                <w:rFonts w:ascii="宋体" w:hAnsi="宋体" w:eastAsia="宋体" w:cs="Times New Roman"/>
                <w:kern w:val="3"/>
                <w:sz w:val="22"/>
              </w:rPr>
              <w:t>4分，不提供不得分。</w:t>
            </w:r>
          </w:p>
        </w:tc>
        <w:tc>
          <w:tcPr>
            <w:tcW w:w="402" w:type="pct"/>
            <w:vAlign w:val="center"/>
          </w:tcPr>
          <w:p w14:paraId="02D83CFE">
            <w:pPr>
              <w:tabs>
                <w:tab w:val="left" w:pos="166"/>
              </w:tabs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0-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4</w:t>
            </w:r>
          </w:p>
        </w:tc>
      </w:tr>
      <w:tr w14:paraId="34B7A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vMerge w:val="continue"/>
            <w:vAlign w:val="center"/>
          </w:tcPr>
          <w:p w14:paraId="27C81FA3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</w:p>
        </w:tc>
        <w:tc>
          <w:tcPr>
            <w:tcW w:w="573" w:type="pct"/>
            <w:vAlign w:val="center"/>
          </w:tcPr>
          <w:p w14:paraId="43726B8F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业绩</w:t>
            </w:r>
          </w:p>
          <w:p w14:paraId="17952165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经验</w:t>
            </w:r>
          </w:p>
          <w:p w14:paraId="4F2EEE5E">
            <w:pPr>
              <w:tabs>
                <w:tab w:val="left" w:pos="166"/>
              </w:tabs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Times New Roman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（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6</w:t>
            </w: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分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)</w:t>
            </w:r>
          </w:p>
        </w:tc>
        <w:tc>
          <w:tcPr>
            <w:tcW w:w="3457" w:type="pct"/>
            <w:vAlign w:val="center"/>
          </w:tcPr>
          <w:p w14:paraId="567B5B59">
            <w:pPr>
              <w:tabs>
                <w:tab w:val="left" w:pos="166"/>
              </w:tabs>
              <w:suppressAutoHyphens/>
              <w:autoSpaceDN w:val="0"/>
              <w:spacing w:line="276" w:lineRule="auto"/>
              <w:jc w:val="left"/>
              <w:rPr>
                <w:rFonts w:ascii="宋体" w:hAnsi="宋体" w:eastAsia="宋体" w:cs="Times New Roman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近三年（20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22</w:t>
            </w: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年4月至今）类似项目业绩，需提供合同复印件，每提供一份得2分，最多得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6</w:t>
            </w: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分。合同复印件中至少包括合同的甲乙双方，合同详细标的和双方签章及生效时间。未按照以上要求提供不得分。</w:t>
            </w:r>
          </w:p>
        </w:tc>
        <w:tc>
          <w:tcPr>
            <w:tcW w:w="402" w:type="pct"/>
            <w:vAlign w:val="center"/>
          </w:tcPr>
          <w:p w14:paraId="556C3EF2">
            <w:pPr>
              <w:tabs>
                <w:tab w:val="left" w:pos="166"/>
              </w:tabs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0-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6</w:t>
            </w:r>
          </w:p>
        </w:tc>
      </w:tr>
      <w:tr w14:paraId="6BE75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vMerge w:val="restart"/>
            <w:vAlign w:val="center"/>
          </w:tcPr>
          <w:p w14:paraId="057664C1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技术</w:t>
            </w:r>
          </w:p>
          <w:p w14:paraId="2A03E6DA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（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80</w:t>
            </w: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分）</w:t>
            </w:r>
          </w:p>
        </w:tc>
        <w:tc>
          <w:tcPr>
            <w:tcW w:w="573" w:type="pct"/>
            <w:vAlign w:val="center"/>
          </w:tcPr>
          <w:p w14:paraId="72BC0F83">
            <w:pPr>
              <w:spacing w:line="276" w:lineRule="auto"/>
              <w:jc w:val="center"/>
              <w:rPr>
                <w:rFonts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技术要求偏离</w:t>
            </w:r>
          </w:p>
          <w:p w14:paraId="33ABF805">
            <w:pPr>
              <w:spacing w:line="276" w:lineRule="auto"/>
              <w:jc w:val="center"/>
              <w:rPr>
                <w:rFonts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（</w:t>
            </w:r>
            <w:r>
              <w:rPr>
                <w:rFonts w:ascii="宋体" w:hAnsi="宋体" w:eastAsia="宋体" w:cs="宋体"/>
                <w:sz w:val="22"/>
                <w:szCs w:val="24"/>
              </w:rPr>
              <w:t>30</w:t>
            </w:r>
            <w:r>
              <w:rPr>
                <w:rFonts w:hint="eastAsia" w:ascii="宋体" w:hAnsi="宋体" w:eastAsia="宋体" w:cs="宋体"/>
                <w:sz w:val="22"/>
                <w:szCs w:val="24"/>
              </w:rPr>
              <w:t>分）</w:t>
            </w:r>
          </w:p>
        </w:tc>
        <w:tc>
          <w:tcPr>
            <w:tcW w:w="3457" w:type="pct"/>
            <w:vAlign w:val="center"/>
          </w:tcPr>
          <w:p w14:paraId="6756B327">
            <w:pPr>
              <w:spacing w:line="276" w:lineRule="auto"/>
              <w:rPr>
                <w:rFonts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供应商完全满足招标文件采购需求中“</w:t>
            </w:r>
            <w:r>
              <w:rPr>
                <w:rFonts w:hint="eastAsia" w:ascii="宋体" w:hAnsi="宋体" w:eastAsia="宋体" w:cs="宋体"/>
                <w:sz w:val="22"/>
                <w:szCs w:val="24"/>
                <w:lang w:val="zh-CN"/>
              </w:rPr>
              <w:t>二、服务内容及要求</w:t>
            </w:r>
            <w:r>
              <w:rPr>
                <w:rFonts w:hint="eastAsia" w:ascii="宋体" w:hAnsi="宋体" w:eastAsia="宋体" w:cs="宋体"/>
                <w:sz w:val="22"/>
                <w:szCs w:val="24"/>
              </w:rPr>
              <w:t>”以及三、人员配备及设备要求、“四、其他要求”的得</w:t>
            </w:r>
            <w:r>
              <w:rPr>
                <w:rFonts w:ascii="宋体" w:hAnsi="宋体" w:eastAsia="宋体" w:cs="宋体"/>
                <w:sz w:val="22"/>
                <w:szCs w:val="24"/>
              </w:rPr>
              <w:t>30</w:t>
            </w:r>
            <w:r>
              <w:rPr>
                <w:rFonts w:hint="eastAsia" w:ascii="宋体" w:hAnsi="宋体" w:eastAsia="宋体" w:cs="宋体"/>
                <w:sz w:val="22"/>
                <w:szCs w:val="24"/>
              </w:rPr>
              <w:t>分，有任意一项不满足扣0</w:t>
            </w:r>
            <w:r>
              <w:rPr>
                <w:rFonts w:ascii="宋体" w:hAnsi="宋体" w:eastAsia="宋体" w:cs="宋体"/>
                <w:sz w:val="22"/>
                <w:szCs w:val="24"/>
              </w:rPr>
              <w:t>.5</w:t>
            </w:r>
            <w:r>
              <w:rPr>
                <w:rFonts w:hint="eastAsia" w:ascii="宋体" w:hAnsi="宋体" w:eastAsia="宋体" w:cs="宋体"/>
                <w:sz w:val="22"/>
                <w:szCs w:val="24"/>
              </w:rPr>
              <w:t>分，扣完2</w:t>
            </w:r>
            <w:r>
              <w:rPr>
                <w:rFonts w:ascii="宋体" w:hAnsi="宋体" w:eastAsia="宋体" w:cs="宋体"/>
                <w:sz w:val="22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2"/>
                <w:szCs w:val="24"/>
              </w:rPr>
              <w:t>分为止。</w:t>
            </w:r>
          </w:p>
        </w:tc>
        <w:tc>
          <w:tcPr>
            <w:tcW w:w="402" w:type="pct"/>
            <w:vAlign w:val="center"/>
          </w:tcPr>
          <w:p w14:paraId="0423C91F">
            <w:pPr>
              <w:spacing w:line="276" w:lineRule="auto"/>
              <w:jc w:val="center"/>
              <w:rPr>
                <w:rFonts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0-</w:t>
            </w:r>
            <w:r>
              <w:rPr>
                <w:rFonts w:ascii="宋体" w:hAnsi="宋体" w:eastAsia="宋体" w:cs="宋体"/>
                <w:sz w:val="22"/>
                <w:szCs w:val="24"/>
              </w:rPr>
              <w:t>30</w:t>
            </w:r>
          </w:p>
        </w:tc>
      </w:tr>
      <w:tr w14:paraId="7148A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568" w:type="pct"/>
            <w:vMerge w:val="continue"/>
            <w:vAlign w:val="center"/>
          </w:tcPr>
          <w:p w14:paraId="251837F0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</w:p>
        </w:tc>
        <w:tc>
          <w:tcPr>
            <w:tcW w:w="573" w:type="pct"/>
            <w:vAlign w:val="center"/>
          </w:tcPr>
          <w:p w14:paraId="2D26C43C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服务技术方案</w:t>
            </w:r>
          </w:p>
          <w:p w14:paraId="434307AA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（1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5</w:t>
            </w: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分）</w:t>
            </w:r>
          </w:p>
        </w:tc>
        <w:tc>
          <w:tcPr>
            <w:tcW w:w="3457" w:type="pct"/>
            <w:vAlign w:val="center"/>
          </w:tcPr>
          <w:p w14:paraId="7D89E4BD">
            <w:pPr>
              <w:suppressAutoHyphens/>
              <w:autoSpaceDN w:val="0"/>
              <w:spacing w:line="276" w:lineRule="auto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评委根据投标人所提供的课程资源规划设计方案，实施计划等，进行综合比较，从科学合理性、可行性和满足实际需求等方面进行综合评分。</w:t>
            </w:r>
          </w:p>
          <w:p w14:paraId="2E191AA7">
            <w:pPr>
              <w:suppressAutoHyphens/>
              <w:autoSpaceDN w:val="0"/>
              <w:spacing w:line="276" w:lineRule="auto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（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1）投标人提供的服务方案科学、合理，完整、详细、可行性强，满足用户需求得15分；</w:t>
            </w:r>
          </w:p>
          <w:p w14:paraId="1420330A">
            <w:pPr>
              <w:suppressAutoHyphens/>
              <w:autoSpaceDN w:val="0"/>
              <w:spacing w:line="276" w:lineRule="auto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（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2）投标人提供的服务方案较科学、较合理，较完整、较详细，可行性欠佳，部分满足用户需求得10分；</w:t>
            </w:r>
          </w:p>
          <w:p w14:paraId="3252CD37">
            <w:pPr>
              <w:suppressAutoHyphens/>
              <w:autoSpaceDN w:val="0"/>
              <w:spacing w:line="276" w:lineRule="auto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（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3）投标人提供的服务方案不科学、不合理，不完整、不详细，不具可行性，不能满足用户需求得5分；</w:t>
            </w:r>
          </w:p>
          <w:p w14:paraId="2D9794DE">
            <w:pPr>
              <w:suppressAutoHyphens/>
              <w:autoSpaceDN w:val="0"/>
              <w:spacing w:line="276" w:lineRule="auto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（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4）投标人未提供服务方案得0分。</w:t>
            </w:r>
          </w:p>
        </w:tc>
        <w:tc>
          <w:tcPr>
            <w:tcW w:w="402" w:type="pct"/>
            <w:vAlign w:val="center"/>
          </w:tcPr>
          <w:p w14:paraId="2B36D2FB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0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-15</w:t>
            </w:r>
          </w:p>
        </w:tc>
      </w:tr>
      <w:tr w14:paraId="3BB5D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568" w:type="pct"/>
            <w:vMerge w:val="continue"/>
            <w:vAlign w:val="center"/>
          </w:tcPr>
          <w:p w14:paraId="0A760AA8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</w:p>
        </w:tc>
        <w:tc>
          <w:tcPr>
            <w:tcW w:w="573" w:type="pct"/>
            <w:vAlign w:val="center"/>
          </w:tcPr>
          <w:p w14:paraId="6D837637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团队人员配置</w:t>
            </w:r>
          </w:p>
          <w:p w14:paraId="675B1C1B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（5分）</w:t>
            </w:r>
          </w:p>
        </w:tc>
        <w:tc>
          <w:tcPr>
            <w:tcW w:w="3457" w:type="pct"/>
            <w:vAlign w:val="center"/>
          </w:tcPr>
          <w:p w14:paraId="2D522907">
            <w:pPr>
              <w:suppressAutoHyphens/>
              <w:autoSpaceDN w:val="0"/>
              <w:spacing w:line="276" w:lineRule="auto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对投标人所报团队人员配置，从人员数量、技术结构等多方面综合考虑评分。</w:t>
            </w:r>
          </w:p>
          <w:p w14:paraId="43FCB6A0">
            <w:pPr>
              <w:suppressAutoHyphens/>
              <w:autoSpaceDN w:val="0"/>
              <w:spacing w:line="276" w:lineRule="auto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项目人员配备（数量、技术结构）科学、合理得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5分；</w:t>
            </w:r>
          </w:p>
          <w:p w14:paraId="50F70419">
            <w:pPr>
              <w:suppressAutoHyphens/>
              <w:autoSpaceDN w:val="0"/>
              <w:spacing w:line="276" w:lineRule="auto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项目人员配备（数量、技术结构）较科学、较合理得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3分；</w:t>
            </w:r>
          </w:p>
          <w:p w14:paraId="2F65031B">
            <w:pPr>
              <w:suppressAutoHyphens/>
              <w:autoSpaceDN w:val="0"/>
              <w:spacing w:line="276" w:lineRule="auto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项目人员配备（数量、技术结构）科学、合理性有欠缺得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1分；</w:t>
            </w:r>
          </w:p>
          <w:p w14:paraId="5134FC59">
            <w:pPr>
              <w:suppressAutoHyphens/>
              <w:autoSpaceDN w:val="0"/>
              <w:spacing w:line="276" w:lineRule="auto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项目人员配备（数量、技术结构）不合理得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0分。</w:t>
            </w:r>
          </w:p>
        </w:tc>
        <w:tc>
          <w:tcPr>
            <w:tcW w:w="402" w:type="pct"/>
            <w:vAlign w:val="center"/>
          </w:tcPr>
          <w:p w14:paraId="78C1BE7E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0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-5</w:t>
            </w:r>
          </w:p>
        </w:tc>
      </w:tr>
      <w:tr w14:paraId="0C326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568" w:type="pct"/>
            <w:vMerge w:val="continue"/>
            <w:vAlign w:val="center"/>
          </w:tcPr>
          <w:p w14:paraId="49389A1B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</w:p>
        </w:tc>
        <w:tc>
          <w:tcPr>
            <w:tcW w:w="573" w:type="pct"/>
            <w:vAlign w:val="center"/>
          </w:tcPr>
          <w:p w14:paraId="1B7CDE9E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课改专家顾问</w:t>
            </w:r>
          </w:p>
          <w:p w14:paraId="207520F4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（3分）</w:t>
            </w:r>
          </w:p>
        </w:tc>
        <w:tc>
          <w:tcPr>
            <w:tcW w:w="3457" w:type="pct"/>
            <w:vAlign w:val="center"/>
          </w:tcPr>
          <w:p w14:paraId="487DE40B">
            <w:pPr>
              <w:suppressAutoHyphens/>
              <w:autoSpaceDN w:val="0"/>
              <w:spacing w:line="276" w:lineRule="auto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为保障课程资源建设的专业性，需具备在工学一体化课程改革方面具有丰富经验的专家顾问。提供专家简历、职称证明。正高级专家得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3分，副高级得1分，未提供不得分。</w:t>
            </w:r>
          </w:p>
        </w:tc>
        <w:tc>
          <w:tcPr>
            <w:tcW w:w="402" w:type="pct"/>
            <w:vAlign w:val="center"/>
          </w:tcPr>
          <w:p w14:paraId="20A244B4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0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-3</w:t>
            </w:r>
          </w:p>
        </w:tc>
      </w:tr>
      <w:tr w14:paraId="2AA3E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568" w:type="pct"/>
            <w:vMerge w:val="continue"/>
            <w:vAlign w:val="center"/>
          </w:tcPr>
          <w:p w14:paraId="0447CFFD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</w:p>
        </w:tc>
        <w:tc>
          <w:tcPr>
            <w:tcW w:w="573" w:type="pct"/>
            <w:vAlign w:val="center"/>
          </w:tcPr>
          <w:p w14:paraId="5202C5D2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设备配备</w:t>
            </w:r>
          </w:p>
          <w:p w14:paraId="4F6BE9DF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（5分）</w:t>
            </w:r>
          </w:p>
        </w:tc>
        <w:tc>
          <w:tcPr>
            <w:tcW w:w="3457" w:type="pct"/>
            <w:vAlign w:val="center"/>
          </w:tcPr>
          <w:p w14:paraId="79F7EF05">
            <w:pPr>
              <w:suppressAutoHyphens/>
              <w:autoSpaceDN w:val="0"/>
              <w:spacing w:line="276" w:lineRule="auto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供应商针对本项目提供的主要摄录设备清单，设备及设备信息（品牌、型号或规格等），进行综合评分。</w:t>
            </w:r>
          </w:p>
          <w:p w14:paraId="379978F2">
            <w:pPr>
              <w:suppressAutoHyphens/>
              <w:autoSpaceDN w:val="0"/>
              <w:spacing w:line="276" w:lineRule="auto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（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1）投标人提供的设备清单，软硬件设备类型齐全，数量充足，得5分；</w:t>
            </w:r>
          </w:p>
          <w:p w14:paraId="15C1A592">
            <w:pPr>
              <w:suppressAutoHyphens/>
              <w:autoSpaceDN w:val="0"/>
              <w:spacing w:line="276" w:lineRule="auto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（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2）投标人提供的设备清单，软硬件设备类型一般，数量不充足，得3分；</w:t>
            </w:r>
          </w:p>
          <w:p w14:paraId="40F99AB8">
            <w:pPr>
              <w:suppressAutoHyphens/>
              <w:autoSpaceDN w:val="0"/>
              <w:spacing w:line="276" w:lineRule="auto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（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3）投标人未提供设备清单得0分。</w:t>
            </w:r>
          </w:p>
        </w:tc>
        <w:tc>
          <w:tcPr>
            <w:tcW w:w="402" w:type="pct"/>
            <w:vAlign w:val="center"/>
          </w:tcPr>
          <w:p w14:paraId="42B16607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0-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5</w:t>
            </w:r>
          </w:p>
        </w:tc>
      </w:tr>
      <w:tr w14:paraId="07E94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568" w:type="pct"/>
            <w:vMerge w:val="continue"/>
            <w:vAlign w:val="center"/>
          </w:tcPr>
          <w:p w14:paraId="3349512B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</w:p>
        </w:tc>
        <w:tc>
          <w:tcPr>
            <w:tcW w:w="573" w:type="pct"/>
            <w:vAlign w:val="center"/>
          </w:tcPr>
          <w:p w14:paraId="1EBBACB3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培训方案</w:t>
            </w:r>
          </w:p>
          <w:p w14:paraId="20DD0CD8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（5分）</w:t>
            </w:r>
          </w:p>
        </w:tc>
        <w:tc>
          <w:tcPr>
            <w:tcW w:w="3457" w:type="pct"/>
            <w:vAlign w:val="center"/>
          </w:tcPr>
          <w:p w14:paraId="5B428EB0">
            <w:pPr>
              <w:suppressAutoHyphens/>
              <w:autoSpaceDN w:val="0"/>
              <w:spacing w:line="276" w:lineRule="auto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评委根据投标人所提供的培训方案，从培训内容、培训方式等多方面综合考虑评分，完整详实得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5分，一般得3分，未提供或较差得0分。</w:t>
            </w:r>
          </w:p>
        </w:tc>
        <w:tc>
          <w:tcPr>
            <w:tcW w:w="402" w:type="pct"/>
            <w:vAlign w:val="center"/>
          </w:tcPr>
          <w:p w14:paraId="2368D613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0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-5</w:t>
            </w:r>
          </w:p>
        </w:tc>
      </w:tr>
      <w:tr w14:paraId="7D4C5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</w:trPr>
        <w:tc>
          <w:tcPr>
            <w:tcW w:w="568" w:type="pct"/>
            <w:vMerge w:val="continue"/>
            <w:vAlign w:val="center"/>
          </w:tcPr>
          <w:p w14:paraId="1C1959F0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</w:p>
        </w:tc>
        <w:tc>
          <w:tcPr>
            <w:tcW w:w="573" w:type="pct"/>
            <w:vAlign w:val="center"/>
          </w:tcPr>
          <w:p w14:paraId="139C1386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售后服务方案</w:t>
            </w:r>
          </w:p>
          <w:p w14:paraId="65A5AC28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（5分）</w:t>
            </w:r>
          </w:p>
        </w:tc>
        <w:tc>
          <w:tcPr>
            <w:tcW w:w="3457" w:type="pct"/>
            <w:vAlign w:val="center"/>
          </w:tcPr>
          <w:p w14:paraId="1FCA6861">
            <w:pPr>
              <w:suppressAutoHyphens/>
              <w:autoSpaceDN w:val="0"/>
              <w:spacing w:line="276" w:lineRule="auto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对投标人所报售后服务方案等综合评分，完整详实得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5分，一般得3分，未提供或较差得0分。</w:t>
            </w:r>
          </w:p>
        </w:tc>
        <w:tc>
          <w:tcPr>
            <w:tcW w:w="402" w:type="pct"/>
            <w:vAlign w:val="center"/>
          </w:tcPr>
          <w:p w14:paraId="33130FA8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0-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5</w:t>
            </w:r>
          </w:p>
        </w:tc>
      </w:tr>
      <w:tr w14:paraId="4B5FD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vMerge w:val="continue"/>
            <w:vAlign w:val="center"/>
          </w:tcPr>
          <w:p w14:paraId="75EFBF97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</w:p>
        </w:tc>
        <w:tc>
          <w:tcPr>
            <w:tcW w:w="573" w:type="pct"/>
            <w:vAlign w:val="center"/>
          </w:tcPr>
          <w:p w14:paraId="099608DB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现场</w:t>
            </w:r>
          </w:p>
          <w:p w14:paraId="5BDE7CEB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演示</w:t>
            </w:r>
          </w:p>
          <w:p w14:paraId="016B2887">
            <w:pPr>
              <w:suppressAutoHyphens/>
              <w:autoSpaceDN w:val="0"/>
              <w:spacing w:line="276" w:lineRule="auto"/>
              <w:jc w:val="center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（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12</w:t>
            </w: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分）</w:t>
            </w:r>
          </w:p>
        </w:tc>
        <w:tc>
          <w:tcPr>
            <w:tcW w:w="3457" w:type="pct"/>
            <w:vAlign w:val="center"/>
          </w:tcPr>
          <w:p w14:paraId="06FE7EC4">
            <w:pPr>
              <w:spacing w:line="276" w:lineRule="auto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供应商需具备宠物美容相关精品微课开发经验，提供宠物美容相关抠像理实一体化课程样例与对应脚本，时长为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8-10分钟，存储介质为U盘。</w:t>
            </w:r>
          </w:p>
          <w:p w14:paraId="6C51CFC3">
            <w:pPr>
              <w:spacing w:line="276" w:lineRule="auto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（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1）样片内容与脚本完全匹配，清晰度高，总时长满足要求，</w:t>
            </w: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课程主题符合要求，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形式多样包含抠像、</w:t>
            </w: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理论讲解、实操展示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，片头尾美观大方的，得12分；</w:t>
            </w:r>
          </w:p>
          <w:p w14:paraId="199C57C7">
            <w:pPr>
              <w:spacing w:line="276" w:lineRule="auto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（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2）样片内容与脚本基本匹配，清晰度一般，总时长在4-8分钟之间，</w:t>
            </w: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课程主题符合要求，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形式较为单一缺乏</w:t>
            </w: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实操内容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，包含片头尾的，得7分；</w:t>
            </w:r>
          </w:p>
          <w:p w14:paraId="1DE026C4">
            <w:pPr>
              <w:spacing w:line="276" w:lineRule="auto"/>
              <w:rPr>
                <w:rFonts w:ascii="宋体" w:hAnsi="宋体" w:eastAsia="宋体" w:cs="宋体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（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3）样片内容与脚本匹配度低，视频模糊，总时长低于4分钟，</w:t>
            </w: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课程主题与宠物美容无关，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形式较为单一，内容讲解存在问题，不包含片头尾，得3分；</w:t>
            </w:r>
          </w:p>
          <w:p w14:paraId="3B3BECE5">
            <w:pPr>
              <w:suppressAutoHyphens/>
              <w:autoSpaceDN w:val="0"/>
              <w:spacing w:line="276" w:lineRule="auto"/>
              <w:jc w:val="left"/>
              <w:rPr>
                <w:rFonts w:ascii="宋体" w:hAnsi="宋体" w:eastAsia="宋体" w:cs="Times New Roman"/>
                <w:kern w:val="3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3"/>
                <w:sz w:val="22"/>
                <w:szCs w:val="24"/>
              </w:rPr>
              <w:t>（</w:t>
            </w:r>
            <w:r>
              <w:rPr>
                <w:rFonts w:ascii="宋体" w:hAnsi="宋体" w:eastAsia="宋体" w:cs="宋体"/>
                <w:kern w:val="3"/>
                <w:sz w:val="22"/>
                <w:szCs w:val="24"/>
              </w:rPr>
              <w:t>4）投标人未提供样片演示得0分。</w:t>
            </w:r>
          </w:p>
        </w:tc>
        <w:tc>
          <w:tcPr>
            <w:tcW w:w="402" w:type="pct"/>
            <w:vAlign w:val="center"/>
          </w:tcPr>
          <w:p w14:paraId="04FBCFCE">
            <w:pPr>
              <w:spacing w:line="276" w:lineRule="auto"/>
              <w:jc w:val="center"/>
              <w:rPr>
                <w:rFonts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0-</w:t>
            </w:r>
            <w:r>
              <w:rPr>
                <w:rFonts w:ascii="宋体" w:hAnsi="宋体" w:eastAsia="宋体" w:cs="宋体"/>
                <w:sz w:val="22"/>
                <w:szCs w:val="24"/>
              </w:rPr>
              <w:t>12</w:t>
            </w:r>
          </w:p>
        </w:tc>
      </w:tr>
    </w:tbl>
    <w:p w14:paraId="36E1A00D">
      <w:pPr>
        <w:suppressAutoHyphens/>
        <w:autoSpaceDN w:val="0"/>
        <w:spacing w:line="360" w:lineRule="auto"/>
        <w:rPr>
          <w:rFonts w:ascii="宋体" w:hAnsi="宋体" w:eastAsia="宋体" w:cs="Times New Roman"/>
          <w:bCs/>
          <w:kern w:val="3"/>
          <w:sz w:val="24"/>
          <w:szCs w:val="24"/>
        </w:rPr>
      </w:pPr>
    </w:p>
    <w:p w14:paraId="08C5DFE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9D7628"/>
    <w:multiLevelType w:val="multilevel"/>
    <w:tmpl w:val="1C9D7628"/>
    <w:lvl w:ilvl="0" w:tentative="0">
      <w:start w:val="1"/>
      <w:numFmt w:val="chineseCountingThousand"/>
      <w:pStyle w:val="2"/>
      <w:lvlText w:val="%1、"/>
      <w:lvlJc w:val="left"/>
      <w:pPr>
        <w:ind w:left="440" w:hanging="440"/>
      </w:p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B01"/>
    <w:rsid w:val="005F349E"/>
    <w:rsid w:val="00AC3EBE"/>
    <w:rsid w:val="00C911CD"/>
    <w:rsid w:val="00D56B01"/>
    <w:rsid w:val="00D76500"/>
    <w:rsid w:val="09FA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qFormat/>
    <w:uiPriority w:val="9"/>
    <w:pPr>
      <w:numPr>
        <w:ilvl w:val="0"/>
        <w:numId w:val="1"/>
      </w:numPr>
    </w:pPr>
    <w:rPr>
      <w:rFonts w:ascii="宋体" w:hAnsi="宋体" w:eastAsia="宋体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1414</Words>
  <Characters>1465</Characters>
  <Lines>11</Lines>
  <Paragraphs>3</Paragraphs>
  <TotalTime>0</TotalTime>
  <ScaleCrop>false</ScaleCrop>
  <LinksUpToDate>false</LinksUpToDate>
  <CharactersWithSpaces>1465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2025-05-08T11:56:00Z</dcterms:created>
  <dc:creator>Administrator</dc:creator>
  <cp:lastModifiedBy>杨艳</cp:lastModifiedBy>
  <dcterms:modified xsi:type="dcterms:W3CDTF">2025-05-19T02:10:41Z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eyJoZGlkIjoiODViY2JkMjU3NGYzZTEwMzZmMGFkZWViYmNkYWU3NDIiLCJ1c2VySWQiOiI1MjUwMDg4MTgifQ==</vt:lpwstr>
  </property>
  <property fmtid="{D5CDD505-2E9C-101B-9397-08002B2CF9AE}" pid="3" name="KSOProductBuildVer">
    <vt:lpwstr>2052-12.1.0.20784</vt:lpwstr>
  </property>
  <property fmtid="{D5CDD505-2E9C-101B-9397-08002B2CF9AE}" pid="4" name="ICV">
    <vt:lpwstr>476D06B26B974CBCAD2F1AF0F47F1B3F_12</vt:lpwstr>
  </property>
</Properties>
</file>